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2026 — Inkrafttreten</w:t>
      </w:r>
    </w:p>
    <w:p>
      <w:r>
        <w:rPr>
          <w:color w:val="555555"/>
          <w:sz w:val="18"/>
        </w:rPr>
        <w:t xml:space="preserve">Rentenwertbestimmungsverordnung 2026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Diese Verordnung tritt am 1. Juli 2026 in Kraft.</w:t>
      </w:r>
    </w:p>
    <w:p>
      <w:r>
        <w:rPr>
          <w:color w:val="555555"/>
          <w:sz w:val="17"/>
        </w:rPr>
        <w:t xml:space="preserve">Zitiervorschlag: § 5 RWBestV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