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RWBestV 2026 — Ausgleichsbedarf in der gesetzlichen Rentenversicherung</w:t>
      </w:r>
    </w:p>
    <w:p>
      <w:r>
        <w:rPr>
          <w:color w:val="555555"/>
          <w:sz w:val="18"/>
        </w:rPr>
        <w:t xml:space="preserve">Rentenwertbestimmungsverordnung 2026</w:t>
      </w:r>
    </w:p>
    <w:p>
      <w:r>
        <w:rPr>
          <w:color w:val="555555"/>
          <w:sz w:val="18"/>
        </w:rPr>
        <w:t xml:space="preserve">Stand: 01.07.2026 (konsolidierte Textfassung, kein amtliches Inkrafttretensdatum)</w:t>
      </w:r>
    </w:p>
    <w:p>
      <w:r>
        <w:t xml:space="preserve">Der Ausgleichsbedarf beträgt ab dem 1. Juli 2026 1,0000.</w:t>
      </w:r>
    </w:p>
    <w:p>
      <w:r>
        <w:rPr>
          <w:color w:val="555555"/>
          <w:sz w:val="17"/>
        </w:rPr>
        <w:t xml:space="preserve">Zitiervorschlag: § 2 RWBestV 2026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https://recht.nulegal.eu/gesetze/RWBestV%202026/2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