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2024 — Anpassung der Geldleistungen in der gesetzlichen Unfallversicherung</w:t>
      </w:r>
    </w:p>
    <w:p>
      <w:r>
        <w:rPr>
          <w:color w:val="555555"/>
          <w:sz w:val="18"/>
        </w:rPr>
        <w:t xml:space="preserve">Rentenwertbestimmungsverordnung 2024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(1) Der Anpassungsfaktor für die zum 1. Juli 2024 anzupassenden Geldleistungen der gesetzlichen Unfallversicherung im Sinne des § 44 Absatz 4 und des § 95 des Siebten Buches Sozialgesetzbuch beträgt 1,0457.</w:t>
      </w:r>
    </w:p>
    <w:p>
      <w:r>
        <w:t xml:space="preserve">(2) Das Pflegegeld der gesetzlichen Unfallversicherung beträgt ab dem 1. Juli 2024 für Versicherungsfälle, auf die § 44 Absatz 2 des Siebten Buches Sozialgesetzbuch anzuwenden ist, zwischen 445 Euro und 1 772 Euro monatlich.</w:t>
      </w:r>
    </w:p>
    <w:p>
      <w:r>
        <w:rPr>
          <w:color w:val="555555"/>
          <w:sz w:val="17"/>
        </w:rPr>
        <w:t xml:space="preserve">Zitiervorschlag: § 5 RWBestV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