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RWBestV 2023 — Sicherungsniveau vor Steuern in der gesetzlichen Rentenversicherung</w:t>
      </w:r>
    </w:p>
    <w:p>
      <w:r>
        <w:rPr>
          <w:color w:val="555555"/>
          <w:sz w:val="18"/>
        </w:rPr>
        <w:t xml:space="preserve">Rentenwertbestimmungsverordnung 2023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Das Sicherungsniveau vor Steuern beträgt für das Jahr 2023 48,15 Prozent.</w:t>
      </w:r>
    </w:p>
    <w:p>
      <w:r>
        <w:rPr>
          <w:color w:val="555555"/>
          <w:sz w:val="17"/>
        </w:rPr>
        <w:t xml:space="preserve">Zitiervorschlag: § 3 RWBestV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