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2023 — Ausgleichsbedarf in der gesetzlichen Rentenversicherung</w:t>
      </w:r>
    </w:p>
    <w:p>
      <w:r>
        <w:rPr>
          <w:color w:val="555555"/>
          <w:sz w:val="18"/>
        </w:rPr>
        <w:t xml:space="preserve">Rentenwertbestimmungsverordnung 2023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Der Ausgleichsbedarf beträgt ab dem 1. Juli 2023 1,0000.</w:t>
      </w:r>
    </w:p>
    <w:p>
      <w:r>
        <w:rPr>
          <w:color w:val="555555"/>
          <w:sz w:val="17"/>
        </w:rPr>
        <w:t xml:space="preserve">Zitiervorschlag: § 2 RWBestV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