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2020 — Sicherungsniveau vor Steuern in der gesetzlichen Rentenversicherung</w:t>
      </w:r>
    </w:p>
    <w:p>
      <w:r>
        <w:rPr>
          <w:color w:val="555555"/>
          <w:sz w:val="18"/>
        </w:rPr>
        <w:t xml:space="preserve">Rentenwertbestimmungsverordnung 2020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Das Sicherungsniveau vor Steuern beträgt für das Jahr 2020 48,21 Prozent.</w:t>
      </w:r>
    </w:p>
    <w:p>
      <w:r>
        <w:rPr>
          <w:color w:val="555555"/>
          <w:sz w:val="17"/>
        </w:rPr>
        <w:t xml:space="preserve">Zitiervorschlag: § 2 RWBestV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