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RWBestV 2019 — Inkrafttreten</w:t>
      </w:r>
    </w:p>
    <w:p>
      <w:r>
        <w:rPr>
          <w:color w:val="555555"/>
          <w:sz w:val="18"/>
        </w:rPr>
        <w:t xml:space="preserve">Rentenwertbestimmungsverordnung 2019</w:t>
      </w:r>
    </w:p>
    <w:p>
      <w:r>
        <w:rPr>
          <w:color w:val="555555"/>
          <w:sz w:val="18"/>
        </w:rPr>
        <w:t xml:space="preserve">Stand: 02.07.2019 (konsolidierte Textfassung, kein amtliches Inkrafttretensdatum)</w:t>
      </w:r>
    </w:p>
    <w:p>
      <w:r>
        <w:t xml:space="preserve">Diese Verordnung tritt am 1. Juli 2019 in Kraft.</w:t>
      </w:r>
    </w:p>
    <w:p>
      <w:r>
        <w:rPr>
          <w:color w:val="555555"/>
          <w:sz w:val="17"/>
        </w:rPr>
        <w:t xml:space="preserve">Zitiervorschlag: § 6 RWBestV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https://recht.nulegal.eu/gesetze/RWBestV%202019/6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