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RWBestV 2019 — Sicherungsniveau vor Steuern in der gesetzlichen Rentenversicherung</w:t>
      </w:r>
    </w:p>
    <w:p>
      <w:r>
        <w:rPr>
          <w:color w:val="555555"/>
          <w:sz w:val="18"/>
        </w:rPr>
        <w:t xml:space="preserve">Rentenwertbestimmungsverordnung 2019</w:t>
      </w:r>
    </w:p>
    <w:p>
      <w:r>
        <w:rPr>
          <w:color w:val="555555"/>
          <w:sz w:val="18"/>
        </w:rPr>
        <w:t xml:space="preserve">Stand: 02.07.2019 (konsolidierte Textfassung, kein amtliches Inkrafttretensdatum)</w:t>
      </w:r>
    </w:p>
    <w:p>
      <w:r>
        <w:t xml:space="preserve">Das Sicherungsniveau vor Steuern beträgt für das Jahr 2019 48,16 Prozent.</w:t>
      </w:r>
    </w:p>
    <w:p>
      <w:r>
        <w:rPr>
          <w:color w:val="555555"/>
          <w:sz w:val="17"/>
        </w:rPr>
        <w:t xml:space="preserve">Zitiervorschlag: § 2 RWBestV 2019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https://recht.nulegal.eu/gesetze/RWBestV%202019/2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