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RWBestV 2018 — Inkrafttreten</w:t>
      </w:r>
    </w:p>
    <w:p>
      <w:r>
        <w:rPr>
          <w:color w:val="555555"/>
          <w:sz w:val="18"/>
        </w:rPr>
        <w:t xml:space="preserve">Rentenwertbestimmungsverordnung 2018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1. Juli 2018 in Kraft.</w:t>
      </w:r>
    </w:p>
    <w:p>
      <w:r>
        <w:rPr>
          <w:color w:val="555555"/>
          <w:sz w:val="17"/>
        </w:rPr>
        <w:t xml:space="preserve">Zitiervorschlag: § 6 RWBestV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https://recht.nulegal.eu/gesetze/RWBestV%202018/6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