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2015 — Anpassungsfaktor in der Unfallversicherung</w:t>
      </w:r>
    </w:p>
    <w:p>
      <w:r>
        <w:rPr>
          <w:color w:val="555555"/>
          <w:sz w:val="18"/>
        </w:rPr>
        <w:t xml:space="preserve">Rentenwertbestimmungsverordnung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2015 anzupassenden Geldleistungen der gesetzlichen Unfallversicherung im Sinne des § 44 Absatz 4 und des § 95 des Siebten Buches Sozialgesetzbuch beträgt 1,0210.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2015 eingetreten sind, werden zum 1. Juli 2015 angepasst. Der Anpassungsfaktor beträgt 1,0250.</w:t>
      </w:r>
    </w:p>
    <w:p>
      <w:r>
        <w:rPr>
          <w:color w:val="555555"/>
          <w:sz w:val="17"/>
        </w:rPr>
        <w:t xml:space="preserve">Zitiervorschlag: § 4 RWBestV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