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2013</w:t>
      </w:r>
    </w:p>
    <w:p>
      <w:r>
        <w:rPr>
          <w:color w:val="555555"/>
          <w:sz w:val="18"/>
        </w:rPr>
        <w:t xml:space="preserve">Rentenwertbestimmungsverordnung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 und 68a sowie den §§ 228b und 255e des Sechsten Buches Sozialgesetzbuch – Gesetzliche Rentenversicherung –, von denen § 68a durch Artikel 4 Nummer 3 des Gesetzes vom 15. Juli 2009 (BGBl. I S. 1939), § 228b durch Artikel 5 Nummer 8 des Gesetzes vom 2. Dezember 2006 (BGBl. I S. 2742), § 68 zuletzt durch Artikel 1 Nummer 2 des Gesetzes vom 26. Juni 2008 (BGBl. I S. 1076) und § 255e zuletzt durch Artikel 4 Nummer 12 des Gesetzes vom 15. Juli 2009 (BGBl. I S. 1939) geändert worden sind, sowie § 69 Absatz 1 zuletzt durch Artikel 4 Nummer 3 Buchstabe a des Gesetzes vom 22. Dezember 2011 (BGBl. I S. 3057)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66 des Gesetzes vom 20. April 2007 (BGBl. I S. 554) und § 255b Absatz 1 zuletzt durch Artikel 4 Nummer 20 des Gesetzes vom 22. Dezember 2011 (BGBl. I S. 3057)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