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RWBestV 2012 — Ausgleichsbedarf und Ausgleichsbedarf (Ost)</w:t>
      </w:r>
    </w:p>
    <w:p>
      <w:r>
        <w:rPr>
          <w:color w:val="555555"/>
          <w:sz w:val="18"/>
        </w:rPr>
        <w:t xml:space="preserve">Rentenwertbestimmungsverordnung 2012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Ausgleichsbedarf beträgt ab dem 1. Juli 2012 0,9929.</w:t>
      </w:r>
    </w:p>
    <w:p>
      <w:r>
        <w:t xml:space="preserve">(2) Der Ausgleichsbedarf (Ost) beträgt ab dem 1. Juli 2012 1,0000.</w:t>
      </w:r>
    </w:p>
    <w:p>
      <w:r>
        <w:rPr>
          <w:color w:val="555555"/>
          <w:sz w:val="17"/>
        </w:rPr>
        <w:t xml:space="preserve">Zitiervorschlag: § 3 RWBestV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https://recht.nulegal.eu/gesetze/RWBestV%202012/3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