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RWBestV 2009 — Anpassungsfaktor in der Unfallversicherung</w:t>
      </w:r>
    </w:p>
    <w:p>
      <w:r>
        <w:rPr>
          <w:color w:val="555555"/>
          <w:sz w:val="18"/>
        </w:rPr>
        <w:t xml:space="preserve">Rentenwertbestimmungsverordnung 2009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Anpassungsfaktor für die zum 1. Juli 2009 anzupassenden Geldleistungen der gesetzlichen Unfallversicherung im Sinne des § 44 Absatz 4 und des § 95 des Siebten Buches Sozialgesetzbuch beträgt 1,0241.</w:t>
      </w:r>
    </w:p>
    <w:p>
      <w:r>
        <w:t xml:space="preserve">(2) Die vom Jahresarbeitsverdienst abhängigen Geldleistungen und das Pflegegeld der gesetzlichen Unfallversicherung im Sinne des § 215 Absatz 5 des Siebten Buches Sozialgesetzbuch für Versicherungsfälle, die vor dem 1. Juli 2009 eingetreten sind, werden zum 1. Juli 2009 angepasst. Der Anpassungsfaktor beträgt 1,0338.</w:t>
      </w:r>
    </w:p>
    <w:p>
      <w:r>
        <w:rPr>
          <w:color w:val="555555"/>
          <w:sz w:val="17"/>
        </w:rPr>
        <w:t xml:space="preserve">Zitiervorschlag: § 4 RWBestV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https://recht.nulegal.eu/gesetze/RWBestV%202009/4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