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RWBestG 2008 — Ausgleichsbedarf und Ausgleichsbedarf (Ost) zum 30. Juni 2009</w:t>
      </w:r>
    </w:p>
    <w:p>
      <w:r>
        <w:rPr>
          <w:color w:val="555555"/>
          <w:sz w:val="18"/>
        </w:rPr>
        <w:t xml:space="preserve">Rentenwertbestimmungsgesetz 2008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Ausgleichsbedarf beträgt zum 30. Juni 2009 0,9825.</w:t>
      </w:r>
    </w:p>
    <w:p>
      <w:r>
        <w:t xml:space="preserve">(2) Der Ausgleichsbedarf (Ost) beträgt zum 30. Juni 2009 0,9870.</w:t>
      </w:r>
    </w:p>
    <w:p>
      <w:r>
        <w:rPr>
          <w:color w:val="555555"/>
          <w:sz w:val="17"/>
        </w:rPr>
        <w:t xml:space="preserve">Zitiervorschlag: § 3 RWBestG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https://recht.nulegal.eu/gesetze/RWBestG%202008/3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