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RVermVG</w:t>
      </w:r>
    </w:p>
    <w:p>
      <w:r>
        <w:rPr>
          <w:color w:val="555555"/>
          <w:sz w:val="18"/>
        </w:rPr>
        <w:t xml:space="preserve">Gesetz zur vorläufigen Regelung der Rechtsverhältnisse des Reichsvermögens und der preußischen Beteiligungen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bayerische Kreis Lindau gilt als Land im Sinne des Gesetzes.</w:t>
      </w:r>
    </w:p>
    <w:p>
      <w:r>
        <w:rPr>
          <w:color w:val="555555"/>
          <w:sz w:val="17"/>
        </w:rPr>
        <w:t xml:space="preserve">Zitiervorschlag: § 7 RVermVG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