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RVermVG§6DV</w:t>
      </w:r>
    </w:p>
    <w:p>
      <w:r>
        <w:rPr>
          <w:color w:val="555555"/>
          <w:sz w:val="18"/>
        </w:rPr>
        <w:t xml:space="preserve">Verordnung zur Durchführung des § 6 des Gesetzes zur vorläufigen Regelung der Rechtsverhältnisse des Reichsvermögens und der preußischen Beteiligungen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des Gesetzes zur vorläufigen Regelung der Rechtsverhältnisse des Reichsvermögens und der preußischen Beteiligungen vom 21. Juli 1951 (Bundesgesetzbl. I S. 467) wird mit Zustimmung des Bundesrates folgendes verordnet:</w:t>
      </w:r>
    </w:p>
    <w:p>
      <w:r>
        <w:rPr>
          <w:color w:val="555555"/>
          <w:sz w:val="17"/>
        </w:rPr>
        <w:t xml:space="preserve">Zitiervorschlag: Eingangsformel RVermVG§6DV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https://recht.nulegal.eu/gesetze/RVermVG%C2%A76DV/eingangsformel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