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RVermVG§6DV</w:t>
      </w:r>
    </w:p>
    <w:p>
      <w:r>
        <w:rPr>
          <w:color w:val="555555"/>
          <w:sz w:val="18"/>
        </w:rPr>
        <w:t xml:space="preserve">Verordnung zur Durchführung des § 6 des Gesetzes zur vorläufigen Regelung der Rechtsverhältnisse des Reichsvermögens und der preußischen Beteiligungen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Nutzungen der unter die Bestimmungen des § 1 Abs. 1 des Gesetzes fallenden Vermögenswerte fließen, soweit nicht in dieser Verordnung etwas anderes bestimmt ist, demjenigen zu, dem die Verwaltung zusteht.</w:t>
      </w:r>
    </w:p>
    <w:p>
      <w:r>
        <w:t xml:space="preserve">(2) Lasten jeder Art, die mit den unter die Bestimmungen des § 1 Abs. 1 des Gesetzes fallenden Vermögenswerten verbunden sind, treffen, soweit nicht in dieser Verordnung etwas anderes bestimmt ist, denjenigen, dem die Verwaltung zusteht.</w:t>
      </w:r>
    </w:p>
    <w:p>
      <w:r>
        <w:t xml:space="preserve">(3) Die endgültige finanzielle Auseinandersetzung bleibt den gemäß Artikel 134 Abs. 4 und Artikel 135 Abs. 6 des Grundgesetzes für die Bundesrepublik Deutschland zu erlassenden Bundesgesetzen vorbehalten.</w:t>
      </w:r>
    </w:p>
    <w:p>
      <w:r>
        <w:rPr>
          <w:color w:val="555555"/>
          <w:sz w:val="17"/>
        </w:rPr>
        <w:t xml:space="preserve">Zitiervorschlag: § 5 RVermVG§6DV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https://recht.nulegal.eu/gesetze/RVermVG%C2%A76DV/5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