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RVermG — Rückfallvermögen</w:t>
      </w:r>
    </w:p>
    <w:p>
      <w:r>
        <w:rPr>
          <w:color w:val="555555"/>
          <w:sz w:val="18"/>
        </w:rPr>
        <w:t xml:space="preserve">Reichsvermögen-Gesetz</w:t>
      </w:r>
    </w:p>
    <w:p>
      <w:r>
        <w:rPr>
          <w:color w:val="555555"/>
          <w:sz w:val="18"/>
        </w:rPr>
        <w:t xml:space="preserve">Stand: 10.06.2019 (konsolidierte Textfassung, kein amtliches Inkrafttretensdatum)</w:t>
      </w:r>
    </w:p>
    <w:p>
      <w:r>
        <w:t xml:space="preserve">(1) Vermögensrechte des Deutschen Reichs (§ 1), die ein Land oder eine Gemeinde (Gemeindeverband) unmittelbar oder durch einen Dritten dem Deutschen Reich auf Grund eines Gesetzes, Verwaltungsaktes oder Rechtsgeschäftes unentgeltlich zur Verfügung gestellt haben und auf welche die Voraussetzungen der §§ 2 bis 4 nicht zutreffen, stehen dem Rechtsträger (Land, Gemeinde, Gemeindeverband) zu, von dem oder für dessen Rechnung sie zur Verfügung gestellt worden sind. Der Anspruch auf Übertragung eines Vermögensrechts als Rückfallvermögen kann nur innerhalb eines Jahres nach Inkrafttreten dieses Gesetzes geltend gemacht werden. Erlangt der Rückfallberechtigte erst nach dem Inkrafttreten dieses Gesetzes von seinem Rückfallrecht Kenntnis, so beginnt die Frist mit diesem Zeitpunkt.</w:t>
      </w:r>
    </w:p>
    <w:p>
      <w:r>
        <w:t xml:space="preserve">(2) Absatz 1 gilt nicht für Vermögensrechte an Gegenständen, welche der Bund überwiegend und nicht nur vorübergehend unmittelbar für eigene Verwaltungsaufgaben benötigt und für welche der Bund seinen Bedarf geltend macht. Der Bund kann sich auf seinen Bedarf nur innerhalb eines Jahres nach Geltendmachung eines Rückfallrechts, mindestens aber bis zum Ablauf von drei Jahren nach Inkrafttreten dieses Gesetzes, berufen. Der Bund kann sich auf einen von ihm geltend gemachten Eigenbedarf nicht mehr berufen, wenn der Vermögensgegenstand von ihm nicht innerhalb von zwei Jahren nach der Geltendmachung des Bedarfs hierfür tatsächlich genutzt wird.</w:t>
      </w:r>
    </w:p>
    <w:p>
      <w:r>
        <w:t xml:space="preserve">(3) Benötigt der Bund einen nach Absatz 1 einem Land oder einer Gemeinde (Gemeindeverband) zustehenden Vermögensgegenstand nach den bei Inkrafttreten dieses Gesetzes bestehenden Verhältnissen vorübergehend überwiegend für eine eigene Verwaltungsaufgabe, so ist der Rückfallberechtigte verpflichtet, den Vermögensgegenstand dem Bund für die Dauer dieses Verwaltungsbedarfs zur unentgeltlichen Nutzung zu belassen.</w:t>
      </w:r>
    </w:p>
    <w:p>
      <w:r>
        <w:t xml:space="preserve">(4) Ist der Verkehrswert eines dem Deutschen Reich zur Verfügung gestellten Vermögensgegenstandes durch Maßnahmen, welche ein anderer als der Rückfallberechtigte bis zum Inkrafttreten dieses Gesetzes getroffen hat, höher als der Verkehrswert, welchen der Vermögensgegenstand ohne diese Maßnahmen haben würde, so kann der Bund verlangen, daß der Wertunterschied von dem Rückfallberechtigten in Geld ausgeglichen wird. Der Rückfallberechtigte kann den Ausgleich des Wertunterschiedes unter Verzicht auf sein Rückfallrecht verweigern. In diesem Fall hat der Bund dem Rückfallberechtigten eine Entschädigung in Höhe des Verkehrswertes zu zahlen, den der dem Reich zur Verfügung gestellte Vermögensgegenstand ohne die getroffenen Maßnahmen haben würde.</w:t>
      </w:r>
    </w:p>
    <w:p>
      <w:r>
        <w:t xml:space="preserve">(5) Hatte ein Land dem Deutschen Reich Vermögensgegenstände unentgeltlich zur Verfügung gestellt, die in einem Gebiet belegen sind, dessen Landeszugehörigkeit sich nach dem 8. Mai 1945 bis zum Inkrafttreten des Grundgesetzes geändert hat, so stehen diese Vermögensgegenstände dem Land zu, dem nach Artikel 135 Abs. 1 des Grundgesetzes das Vermögen in diesem Gebiet zugefallen ist. Soweit nicht mehr bestehende Länder dem Deutschen Reich Vermögensgegenstände unentgeltlich zur Verfügung gestellt haben, die in einem Gebiet belegen sind, dessen Landeszugehörigkeit sich nicht geändert hat, stehen diese dem Land zu, dem das Grundvermögen des nicht mehr bestehenden Landes nach Artikel 135 Abs. 3 des Grundgesetzes zugefallen ist.</w:t>
      </w:r>
    </w:p>
    <w:p>
      <w:r>
        <w:rPr>
          <w:color w:val="555555"/>
          <w:sz w:val="17"/>
        </w:rPr>
        <w:t xml:space="preserve">Zitiervorschlag: § 5 RVermG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