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RVermG — Inkrafttreten</w:t>
      </w:r>
    </w:p>
    <w:p>
      <w:r>
        <w:rPr>
          <w:color w:val="555555"/>
          <w:sz w:val="18"/>
        </w:rPr>
        <w:t xml:space="preserve">Reichsvermögen-Gesetz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ersten Tage des auf die Verkündung folgenden dritten Kalendermonats in Kraft.</w:t>
      </w:r>
    </w:p>
    <w:p>
      <w:r>
        <w:t xml:space="preserve">(2) Im Saarland tritt dieses Gesetz am ersten Tage des auf die Verkündung folgenden zwölften Kalendermonats in Kraft.</w:t>
      </w:r>
    </w:p>
    <w:p>
      <w:r>
        <w:rPr>
          <w:color w:val="555555"/>
          <w:sz w:val="17"/>
        </w:rPr>
        <w:t xml:space="preserve">Zitiervorschlag: § 22 RVermG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https://recht.nulegal.eu/gesetze/RVermG/22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