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RVermG — Sondervorschriften für das Saarland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nicht für im Saarland belegene Vermögensrechte (§ 1), soweit die Rechtsverhältnisse derartiger Vermögensrechte im übrigen Geltungsbereich dieses Gesetzes durch das in § 15 Abs. 1 Nr. 6 bezeichnete, im Saarland bisher nicht in Kraft getretene Gesetz geregelt sind.</w:t>
      </w:r>
    </w:p>
    <w:p>
      <w:r>
        <w:t xml:space="preserve">(2) Dieses Gesetz gilt im Saarland mit folgender Maßgabe:</w:t>
      </w:r>
    </w:p>
    <w:p>
      <w:pPr>
        <w:ind w:left="420"/>
      </w:pPr>
      <w:r>
        <w:t xml:space="preserve">1. In § 6 Abs. 2 tritt an Stelle einer Frist von sechs Monaten eine Frist von einem Jahr.</w:t>
      </w:r>
    </w:p>
    <w:p>
      <w:pPr>
        <w:ind w:left="420"/>
      </w:pPr>
      <w:r>
        <w:t xml:space="preserve">2. § 16 Abs. 1 findet keine Anwendung.</w:t>
      </w:r>
    </w:p>
    <w:p>
      <w:pPr>
        <w:ind w:left="420"/>
      </w:pPr>
      <w:r>
        <w:t xml:space="preserve">3. In § 16 Abs. 2 tritt an Stelle des 5. Mai 1955, 12 Uhr mittags, der 6. Juli 1959, 0 Uhr.</w:t>
      </w:r>
    </w:p>
    <w:p>
      <w:r>
        <w:rPr>
          <w:color w:val="555555"/>
          <w:sz w:val="17"/>
        </w:rPr>
        <w:t xml:space="preserve">Zitiervorschlag: § 20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