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RVermG — Sondervorschriften für Berlin</w:t>
      </w:r>
    </w:p>
    <w:p>
      <w:r>
        <w:rPr>
          <w:color w:val="555555"/>
          <w:sz w:val="18"/>
        </w:rPr>
        <w:t xml:space="preserve">Reichsvermögen-Gesetz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5 gilt nicht im Land Berlin. Eine besondere Regelung bleibt insoweit vorbehalten.</w:t>
      </w:r>
    </w:p>
    <w:p>
      <w:r>
        <w:t xml:space="preserve">(2) Dieses Gesetz gilt nicht für in Berlin (West) belegene Vermögensrechte (§ 1), soweit die Rechtsverhältnisse derartiger Vermögensrechte im übrigen Geltungsbereich dieses Gesetzes durch in § 15 bezeichnete, im Land Berlin bisher nicht in Kraft getretene Gesetze geregelt sind.</w:t>
      </w:r>
    </w:p>
    <w:p>
      <w:r>
        <w:rPr>
          <w:color w:val="555555"/>
          <w:sz w:val="17"/>
        </w:rPr>
        <w:t xml:space="preserve">Zitiervorschlag: § 19 RVermG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https://recht.nulegal.eu/gesetze/RVermG/19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