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RVermG — Formvorschriften für die Übertragung von Rechten</w:t>
      </w:r>
    </w:p>
    <w:p>
      <w:r>
        <w:rPr>
          <w:color w:val="555555"/>
          <w:sz w:val="18"/>
        </w:rPr>
        <w:t xml:space="preserve">Reichsvermögen-Gesetz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Übertragung (§ 1 Abs. 3, § 7) des Eigentums oder eines anderen Rechts an einem Grundstück gilt folgendes:</w:t>
      </w:r>
    </w:p>
    <w:p>
      <w:pPr>
        <w:ind w:left="420"/>
      </w:pPr>
      <w:r>
        <w:t xml:space="preserve">1. Die zur Übertragung des Rechts erforderliche Einigung bedarf keiner Form.</w:t>
      </w:r>
    </w:p>
    <w:p>
      <w:pPr>
        <w:ind w:left="420"/>
      </w:pPr>
      <w:r>
        <w:t xml:space="preserve">2. § 20 der Grundbuchordnung ist nicht anzuwenden.</w:t>
      </w:r>
    </w:p>
    <w:p>
      <w:pPr>
        <w:ind w:left="420"/>
      </w:pPr>
      <w:r>
        <w:t xml:space="preserve">3. § 39 Abs. 1 der Grundbuchordnung ist nicht anzuwenden, wenn als Berechtigter das Deutsche Reich eingetragen ist.</w:t>
      </w:r>
    </w:p>
    <w:p>
      <w:r>
        <w:rPr>
          <w:color w:val="555555"/>
          <w:sz w:val="17"/>
        </w:rPr>
        <w:t xml:space="preserve">Zitiervorschlag: § 10 RVermG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