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RVerkAbkTURAV</w:t>
      </w:r>
    </w:p>
    <w:p>
      <w:r>
        <w:rPr>
          <w:color w:val="555555"/>
          <w:sz w:val="18"/>
        </w:rPr>
        <w:t xml:space="preserve">Verordnung zur Ausführung des deutsch-türkischen Abkommens über den Rechtsverkehr in Zivil- und Handelssachen vom 28. Mai 1929 (Reichsgesetzbl. 1930 II S. 6)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2 des Gesetzes über das deutsch-türkische Abkommen über den Rechtsverkehr in Zivil- und Handelssachen vom 3. Januar 1930 (Reichsgesetzbl. II S. 6) verordnet die Reichsregierung:</w:t>
      </w:r>
    </w:p>
    <w:p>
      <w:r>
        <w:rPr>
          <w:color w:val="555555"/>
          <w:sz w:val="17"/>
        </w:rPr>
        <w:t xml:space="preserve">Zitiervorschlag: Eingangsformel RVerkAbkTURAV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https://recht.nulegal.eu/gesetze/RVerkAbkTURAV/eingangsformel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