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 RVerkAbkTURAV</w:t>
      </w:r>
    </w:p>
    <w:p>
      <w:r>
        <w:rPr>
          <w:color w:val="555555"/>
          <w:sz w:val="18"/>
        </w:rPr>
        <w:t xml:space="preserve">Verordnung zur Ausführung des deutsch-türkischen Abkommens über den Rechtsverkehr in Zivil- und Handelssachen vom 28. Mai 1929 (Reichsgesetzbl. 1930 II S. 6)</w:t>
      </w:r>
    </w:p>
    <w:p>
      <w:r>
        <w:rPr>
          <w:color w:val="555555"/>
          <w:sz w:val="18"/>
        </w:rPr>
        <w:t xml:space="preserve">Stand: 10.06.2019 (konsolidierte Textfassung, kein amtliches Inkrafttretensdatum)</w:t>
      </w:r>
    </w:p>
    <w:p>
      <w:r>
        <w:t xml:space="preserve">Ist der Antrag auf Vollstreckbarerklärung auf diplomatischem Wege gestellt, so hat das Amtsgericht eine von Amts wegen zu erteilende Ausfertigung seines Beschlusses der Landesjustizverwaltung einzureichen; die Ausfertigung ist, sofern dem Antrag stattgegeben wird, mit der Vollstreckungsklausel zu versehen. Ist der Antrag auf Vollstreckbarerklärung durch die beteiligte Partei unmittelbar gestellt worden, so ist der Beschluß beiden Teilen von Amts wegen zuzustellen.</w:t>
      </w:r>
    </w:p>
    <w:p>
      <w:r>
        <w:rPr>
          <w:color w:val="555555"/>
          <w:sz w:val="17"/>
        </w:rPr>
        <w:t xml:space="preserve">Zitiervorschlag: Art 3 RVerkAbkTURAV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https://recht.nulegal.eu/gesetze/RVerkAbkTURAV/3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 RVerkAbkTURAV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