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RVerkAbkGBRAV</w:t>
      </w:r>
    </w:p>
    <w:p>
      <w:r>
        <w:rPr>
          <w:color w:val="555555"/>
          <w:sz w:val="18"/>
        </w:rPr>
        <w:t xml:space="preserve">Verordnung zur Ausführung des deutsch-britischen Abkommens über den Rechtsverkehr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2 des Gesetzes wegen des deutsch-britischen Abkommens über den Rechtsverkehr vom 3. Dezember 1928 (Reichsgesetzbl. II S. 623) verordnet die Reichsregierung:</w:t>
      </w:r>
    </w:p>
    <w:p>
      <w:r>
        <w:rPr>
          <w:color w:val="555555"/>
          <w:sz w:val="17"/>
        </w:rPr>
        <w:t xml:space="preserve">Zitiervorschlag: Eingangsformel RVerkAbkGBRAV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https://recht.nulegal.eu/gesetze/RVerkAbkGBRAV/eingangsformel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