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 RVerkAbkGBRAV</w:t>
      </w:r>
    </w:p>
    <w:p>
      <w:r>
        <w:rPr>
          <w:color w:val="555555"/>
          <w:sz w:val="18"/>
        </w:rPr>
        <w:t xml:space="preserve">Verordnung zur Ausführung des deutsch-britischen Abkommens über den Rechtsverkehr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Erledigung der in den Artikeln 3 und 9 des Abkommens vorgesehenen Angelegenheiten ist das Amtsgericht zuständig, in dessen Bezirk die Amtshandlung vorgenommen werden soll.</w:t>
      </w:r>
    </w:p>
    <w:p>
      <w:r>
        <w:rPr>
          <w:color w:val="555555"/>
          <w:sz w:val="17"/>
        </w:rPr>
        <w:t xml:space="preserve">Zitiervorschlag: Art 1 RVerkAbkGBRAV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https://recht.nulegal.eu/gesetze/RVerkAbkGBRAV/1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 RVerkAbkGBRAV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