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RVWZPauschBeitrV — Zuständigkeit</w:t>
      </w:r>
    </w:p>
    <w:p>
      <w:r>
        <w:rPr>
          <w:color w:val="555555"/>
          <w:sz w:val="18"/>
        </w:rPr>
        <w:t xml:space="preserve">RV-Wehr- und Zivildienstpauschalbeitragsverordnung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Berechnung und die Zahlung der Beiträge nehmen vor für</w:t>
      </w:r>
    </w:p>
    <w:p>
      <w:pPr>
        <w:ind w:left="420"/>
      </w:pPr>
      <w:r>
        <w:t xml:space="preserve">1. Wehrdienstleistende das Bundesamt für das Personalmanagement der Bundeswehr,</w:t>
      </w:r>
    </w:p>
    <w:p>
      <w:pPr>
        <w:ind w:left="420"/>
      </w:pPr>
      <w:r>
        <w:t xml:space="preserve">2. Zivildienstleistende das Bundesamt für Familie und zivilgesellschaftliche Aufgaben.</w:t>
      </w:r>
    </w:p>
    <w:p>
      <w:r>
        <w:rPr>
          <w:color w:val="555555"/>
          <w:sz w:val="17"/>
        </w:rPr>
        <w:t xml:space="preserve">Zitiervorschlag: § 4 RVWZPauschBeitrV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https://recht.nulegal.eu/gesetze/RVWZPauschBeitrV/4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