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RVWZPauschBeitrV — Berechnungsgrundlagen</w:t>
      </w:r>
    </w:p>
    <w:p>
      <w:r>
        <w:rPr>
          <w:color w:val="555555"/>
          <w:sz w:val="18"/>
        </w:rPr>
        <w:t xml:space="preserve">RV-Wehr- und Zivildienstpauschalbeitragsverordnung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Summe der Arbeitsentgelte (§ 2 Abs. 2 Nr. 1) sind im Fall einer Verdienstausfallentschädigung (1. Alternative) die den Leistungen nach § 5 Absatz 1 des Unterhaltssicherungsgesetzes vor Abzug von Steuern und Beitragsanteilen zugrunde liegenden Arbeitsentgelte bis zur jeweiligen Beitragsbemessungsgrenze und im Fall von Dienstbezügen (2. Alternative) die beitragspflichtigen Einnahmen nach § 166 Absatz 1 Nummer 1b des Sechsten Buches Sozialgesetzbuch.</w:t>
      </w:r>
    </w:p>
    <w:p>
      <w:r>
        <w:t xml:space="preserve">(2) Beitragsbemessungsgrundlage (§ 2 Abs. 2 Nr. 2) sind die aus der für das Kalenderjahr der Dienstleistung geltenden Bezugsgröße abgeleiteten beitragspflichtigen Einnahmen nach § 166 Absatz 1 Nummer 1 und 1a des Sechsten Buches Sozialgesetzbuch. Solange unterschiedliche Bezugsgrößen bestimmt sind, ist jeweils die Bezugsgröße des Gebietes anzuwenden, in dem die in § 1 genannten Personen ihren Dienst regelmäßig ableisten.</w:t>
      </w:r>
    </w:p>
    <w:p>
      <w:r>
        <w:t xml:space="preserve">(3) Beitragssatz (§ 2 Abs. 2) ist der für die allgemeine Rentenversicherung sowie der für die knappschaftliche Rentenversicherung für den Zeitraum der Dienstleistung maßgebende Vomhundertsatz.</w:t>
      </w:r>
    </w:p>
    <w:p>
      <w:r>
        <w:t xml:space="preserve">(4) Diensttage (§ 2 Abs. 2 Nr. 2) sind die Tage des Wehr- oder Zivildienstes, für die Beiträge zu zahlen sind.</w:t>
      </w:r>
    </w:p>
    <w:p>
      <w:r>
        <w:rPr>
          <w:color w:val="555555"/>
          <w:sz w:val="17"/>
        </w:rPr>
        <w:t xml:space="preserve">Zitiervorschlag: § 3 RVWZPauschBeitrV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https://recht.nulegal.eu/gesetze/RVWZPauschBeitrV/3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