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RVWZPauschBeitrV — Geltungsbereich</w:t>
      </w:r>
    </w:p>
    <w:p>
      <w:r>
        <w:rPr>
          <w:color w:val="555555"/>
          <w:sz w:val="18"/>
        </w:rPr>
        <w:t xml:space="preserve">RV-Wehr- und Zivildienstpauschalbeitragsverordnung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Anwendung auf Personen, die auf Grund gesetzlicher Pflicht Wehrdienst oder Zivildienst leisten (Dienstleistende) oder sich in einem Wehrdienstverhältnis besonderer Art nach § 6 des Einsatz-Weiterverwendungsgesetzes befinden und nach § 3 Satz 1 Nr. 2 oder 2a des Sechsten Buches Sozialgesetzbuch versicherungspflichtig in der Rentenversicherung sind.</w:t>
      </w:r>
    </w:p>
    <w:p>
      <w:r>
        <w:rPr>
          <w:color w:val="555555"/>
          <w:sz w:val="17"/>
        </w:rPr>
        <w:t xml:space="preserve">Zitiervorschlag: § 1 RVWZPauschBeitrV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https://recht.nulegal.eu/gesetze/RVWZPauschBeitrV/1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