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RVVerkG — Inkrafttreten der Rechtsverordnungen und Verkehrstarife</w:t>
      </w:r>
    </w:p>
    <w:p>
      <w:r>
        <w:rPr>
          <w:color w:val="555555"/>
          <w:sz w:val="18"/>
        </w:rPr>
        <w:t xml:space="preserve">Verkündungs- und Bekanntmachungsgesetz</w:t>
      </w:r>
    </w:p>
    <w:p>
      <w:r>
        <w:rPr>
          <w:color w:val="555555"/>
          <w:sz w:val="18"/>
        </w:rPr>
        <w:t xml:space="preserve">Historische Fassung: Stand 10.06.2019 bis 01.01.2023. Dies ist nicht die aktuelle Fassung.</w:t>
      </w:r>
    </w:p>
    <w:p>
      <w:r>
        <w:t xml:space="preserve">(1) Rechtsverordnungen treten, falls sie nichts anderes bestimmen, mit dem vierzehnten Tag nach Ablauf des Tages in Kraft, an dem sie im Verkündungsorgan veröffentlicht worden sind.</w:t>
      </w:r>
    </w:p>
    <w:p>
      <w:r>
        <w:t xml:space="preserve">(2) Zu dem gleichen Zeitpunkt treten auch Verkehrstarife in Kraft, falls nichts anderes bestimmt ist.</w:t>
      </w:r>
    </w:p>
    <w:p>
      <w:r>
        <w:rPr>
          <w:color w:val="555555"/>
          <w:sz w:val="17"/>
        </w:rPr>
        <w:t xml:space="preserve">Zitiervorschlag: § 4 RVVerkG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https://recht.nulegal.eu/gesetze/RVVerkG/4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