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RVVerkG — Berichtigungen</w:t>
      </w:r>
    </w:p>
    <w:p>
      <w:r>
        <w:rPr>
          <w:color w:val="555555"/>
          <w:sz w:val="18"/>
        </w:rPr>
        <w:t xml:space="preserve">Verkündungs- und Bekanntmachungsgesetz</w:t>
      </w:r>
    </w:p>
    <w:p>
      <w:r>
        <w:rPr>
          <w:color w:val="555555"/>
          <w:sz w:val="18"/>
        </w:rPr>
        <w:t xml:space="preserve">Historische Fassung: Stand 10.06.2019 bis 01.01.2023. Dies ist nicht die aktuelle Fassung.</w:t>
      </w:r>
    </w:p>
    <w:p>
      <w:r>
        <w:t xml:space="preserve">(1) Werden Druckfehler oder offensichtliche Unrichtigkeiten in Verkündungen oder Bekanntmachungen berichtigt, ist die Berichtigung in dem amtlichen Verkündungs- oder Bekanntmachungsorgan bekannt zu machen, in dem die Verkündung oder Bekanntmachung erfolgt ist.</w:t>
      </w:r>
    </w:p>
    <w:p>
      <w:r>
        <w:t xml:space="preserve">(2) Die Berichtigung einer Verkündung oder Bekanntmachung im amtlichen Teil des Bundesanzeigers durch Überschreiben oder sonstige Veränderung des ursprünglich veröffentlichten Dokuments ist ausgeschlossen. Dem Dokument, das berichtigt wird, soll ein Hinweis hinzugefügt werden, der über die Fundstelle der Berichtigung informiert.</w:t>
      </w:r>
    </w:p>
    <w:p>
      <w:r>
        <w:rPr>
          <w:color w:val="555555"/>
          <w:sz w:val="17"/>
        </w:rPr>
        <w:t xml:space="preserve">Zitiervorschlag: § 11 RVVerkG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https://recht.nulegal.eu/gesetze/RVVerkG/11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