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RVVerkG — Ergänzende Verkündungen und Bekanntmachungen</w:t>
      </w:r>
    </w:p>
    <w:p>
      <w:r>
        <w:rPr>
          <w:color w:val="555555"/>
          <w:sz w:val="18"/>
        </w:rPr>
        <w:t xml:space="preserve">Verkündungs- und Bekanntmachungsgesetz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(1) Bestandteile einer Rechtsverordnung, die in dem Verkündungs- oder Bekanntmachungsorgan nicht oder nur mit unverhältnismäßigem Aufwand in einer Weise dargestellt werden können, die den genauen Inhalt hinreichend deutlich offenbart, können anstelle der Verkündung im amtlichen Verkündungs- oder Bekanntmachungsorgan bei mindestens einer bestimmten Stelle der Bundesverwaltung zu jedermanns Einsicht während der Dienstzeit ausgelegt werden. Die Auslegung setzt voraus, dass in der Rechtsverordnung</w:t>
      </w:r>
    </w:p>
    <w:p>
      <w:pPr>
        <w:ind w:left="420"/>
      </w:pPr>
      <w:r>
        <w:t xml:space="preserve">1. der Inhalt der Bestandteile beschrieben ist sowie</w:t>
      </w:r>
    </w:p>
    <w:p>
      <w:pPr>
        <w:ind w:left="420"/>
      </w:pPr>
      <w:r>
        <w:t xml:space="preserve">2. Ort und Zeit der Auslegung genau bezeichnet sind.</w:t>
      </w:r>
    </w:p>
    <w:p>
      <w:r>
        <w:t xml:space="preserve">(2) Bestandteile nach Absatz 1 können gegen angemessenes Entgelt bezogen werden. Auf die Bezugsmöglichkeit ist im Verkündungs- oder Bekanntmachungsorgan hinzuweisen.</w:t>
      </w:r>
    </w:p>
    <w:p>
      <w:r>
        <w:t xml:space="preserve">(3) Die Absätze 1 und 2 gelten für amtliche Bekanntmachungen entsprechend.</w:t>
      </w:r>
    </w:p>
    <w:p>
      <w:r>
        <w:rPr>
          <w:color w:val="555555"/>
          <w:sz w:val="17"/>
        </w:rPr>
        <w:t xml:space="preserve">Zitiervorschlag: § 10 RVVerkG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https://recht.nulegal.eu/gesetze/RVVerkG/10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