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RVVerkG — Amtliche Verkündungs- und Bekanntmachungsorgane des Bundes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Historische Fassung: Stand 07.09.2019 bis 01.01.2023. Dies ist nicht die aktuelle Fassung.</w:t>
      </w:r>
    </w:p>
    <w:p>
      <w:r>
        <w:t xml:space="preserve">(1) Neben dem Bundesgesetzblatt dienen der Bundesanzeiger und das Verkehrsblatt der Verkündung von Rechtsverordnungen des Bundes sowie der Veröffentlichung amtlicher Bekanntmachungen.</w:t>
      </w:r>
    </w:p>
    <w:p>
      <w:r>
        <w:t xml:space="preserve">(2) Die Herausgabe eigener Bekanntmachungsorgane durch die Behörden des Bundes für Bekanntmachungen innerhalb ihres Zuständigkeitsbereichs bleibt unberührt.</w:t>
      </w:r>
    </w:p>
    <w:p>
      <w:r>
        <w:rPr>
          <w:color w:val="555555"/>
          <w:sz w:val="17"/>
        </w:rPr>
        <w:t xml:space="preserve">Zitiervorschlag: § 1 RVVerkG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https://recht.nulegal.eu/gesetze/RVVerkG/1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