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RVOrgRefÜG — Amtsdauer</w:t>
      </w:r>
    </w:p>
    <w:p>
      <w:r>
        <w:rPr>
          <w:color w:val="555555"/>
          <w:sz w:val="18"/>
        </w:rPr>
        <w:t xml:space="preserve">Gesetz zu Übergangsregelungen zur Organisationsreform in der gesetzlichen Rentenversicherung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Amtsdauer der Mitglieder der Selbstverwaltungsorgane der Bundesknappschaft, der Bahnversicherungsanstalt und der Seekasse endet mit dem erstmaligen Zusammentritt der Vertreterversammlung der Deutschen Rentenversicherung Knappschaft-Bahn-See.</w:t>
      </w:r>
    </w:p>
    <w:p>
      <w:r>
        <w:t xml:space="preserve">(2) Die Versichertenältesten der Bundesknappschaft sind ab 1. Oktober 2005 Versichertenälteste der Deutschen Rentenversicherung Knappschaft-Bahn-See. Die Satzung kann bestimmen, dass die Vertreterversammlung weitere Versichertenälteste für die bisherigen Bereiche der Bahnversicherungsanstalt und der Seekasse wählt.</w:t>
      </w:r>
    </w:p>
    <w:p>
      <w:r>
        <w:rPr>
          <w:color w:val="555555"/>
          <w:sz w:val="17"/>
        </w:rPr>
        <w:t xml:space="preserve">Zitiervorschlag: § 9 RVOrgRefÜG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https://recht.nulegal.eu/gesetze/RVOrgRef%C3%9CG/9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