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RVOrgRefÜG — Zusammensetzung des Vorstandes der Deutschen Rentenversicherung Knappschaft-Bahn-See</w:t>
      </w:r>
    </w:p>
    <w:p>
      <w:r>
        <w:rPr>
          <w:color w:val="555555"/>
          <w:sz w:val="18"/>
        </w:rPr>
        <w:t xml:space="preserve">Gesetz zu Übergangsregelungen zur Organisationsreform in der gesetzlichen Rentenversicherung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der Deutschen Rentenversicherung Knappschaft-Bahn-See setzt sich entsprechend der Stimmenverteilung in der Vertreterversammlung nach § 6 Abs. 2 und 3 zusammen. Die Zahl der Mitglieder wird durch die Vertreterversammlung festgelegt. § 77 der Wahlordnung für die Sozialversicherung gilt entsprechend.</w:t>
      </w:r>
    </w:p>
    <w:p>
      <w:r>
        <w:t xml:space="preserve">(2) Der am 30. September 2005 amtierende Vorstand der Bundesknappschaft nimmt die Aufgaben und Befugnisse des Vorstandes der Deutschen Rentenversicherung Knappschaft-Bahn-See wahr, bis dieser zu seiner ersten Sitzung zusammentritt.</w:t>
      </w:r>
    </w:p>
    <w:p>
      <w:r>
        <w:rPr>
          <w:color w:val="555555"/>
          <w:sz w:val="17"/>
        </w:rPr>
        <w:t xml:space="preserve">Zitiervorschlag: § 7 RVOrgRefÜG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https://recht.nulegal.eu/gesetze/RVOrgRef%C3%9CG/7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