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RVOrgRefÜG — Überleitung des Satzungsrechts der Bahnversicherungsanstalt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Bahnversicherungsanstalt Leistungen auf Grund satzungsrechtlicher Regelungen erbringt, werden diese ab dem 1. Oktober 2005 durch die Deutsche Rentenversicherung Knappschaft-Bahn-See in dem jeweils durch Satzung bestimmten Umfang erbracht.</w:t>
      </w:r>
    </w:p>
    <w:p>
      <w:r>
        <w:t xml:space="preserve">(2) Die auf Grund dieser Leistung notwendigen Verwaltungsausgaben sind aus den Einnahmen für die Leistungen zu finanzieren.</w:t>
      </w:r>
    </w:p>
    <w:p>
      <w:r>
        <w:t xml:space="preserve">(3) Die entsprechenden Einnahmen, Leistungsaufwendungen und Verwaltungsausgaben werden in einem Sondervermögen getrennt von dem sonstigen Vermögen der Deutschen Rentenversicherung Knappschaft-Bahn-See verwaltet. Der Nachweis der Einnahmen und Ausgaben ist in einer Anlage zum Haushaltsplan der Deutschen Rentenversicherung Knappschaft-Bahn-See zu führen, die nicht des Verfahrens nach § 71 des Vierten Buches Sozialgesetzbuch, sondern der Genehmigung des Bundesministeriums für Verkehr und digitale Infrastruktur bedarf.</w:t>
      </w:r>
    </w:p>
    <w:p>
      <w:r>
        <w:rPr>
          <w:color w:val="555555"/>
          <w:sz w:val="17"/>
        </w:rPr>
        <w:t xml:space="preserve">Zitiervorschlag: § 16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