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356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Reicht eine Kasse trotz Aufforderung in der gesetzten Frist keine Dienstordnung ein, so stellt die Aufsichtsbehörde die Dienstordnung rechtsverbindlich fest. Das gleiche gilt für angeordnete Änderungen und Ergänzungen.</w:t>
      </w:r>
    </w:p>
    <w:p>
      <w:r>
        <w:rPr>
          <w:color w:val="555555"/>
          <w:sz w:val="17"/>
        </w:rPr>
        <w:t xml:space="preserve">Zitiervorschlag: § 356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https://recht.nulegal.eu/gesetze/RVO/356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