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RVO§368oAbs4V</w:t>
      </w:r>
    </w:p>
    <w:p>
      <w:r>
        <w:rPr>
          <w:color w:val="555555"/>
          <w:sz w:val="18"/>
        </w:rPr>
        <w:t xml:space="preserve">Ausschussmitglieder-Verordnung</w:t>
      </w:r>
    </w:p>
    <w:p>
      <w:r>
        <w:rPr>
          <w:color w:val="555555"/>
          <w:sz w:val="18"/>
        </w:rPr>
        <w:t xml:space="preserve">Stand: 10.06.2019 (konsolidierte Textfassung, kein amtliches Inkrafttretensdatum)</w:t>
      </w:r>
    </w:p>
    <w:p>
      <w:r>
        <w:t xml:space="preserve">Die Vorsitzenden und die weiteren unparteiischen Mitglieder der Landesausschüsse oder ihre Stellvertreter erhalten Reisekosten nach den Vorschriften des Landes über Reisekostenvergütung. Der Anspruch richtet sich gegen die Kassenärztliche (Kassenzahnärztliche) Vereinigung. Bestehen in einem Lande mehrere Kassenärztliche (Kassenzahnärztliche) Vereinigungen, so bestimmt die Aufsichtsbehörde, gegen welche Vereinigung sich der Anspruch richtet.</w:t>
      </w:r>
    </w:p>
    <w:p>
      <w:r>
        <w:rPr>
          <w:color w:val="555555"/>
          <w:sz w:val="17"/>
        </w:rPr>
        <w:t xml:space="preserve">Zitiervorschlag: § 8 RVO§368oAbs4V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https://recht.nulegal.eu/gesetze/RVO%C2%A7368oAbs4V/8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