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RVGrVO (Nordrhein-Westfalen)</w:t>
      </w:r>
    </w:p>
    <w:p>
      <w:r>
        <w:rPr>
          <w:color w:val="555555"/>
          <w:sz w:val="18"/>
        </w:rPr>
        <w:t xml:space="preserve">Rahmenvorgabengrundsätzeverordnung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März 2015</w:t>
      </w:r>
    </w:p>
    <w:p>
      <w:r>
        <w:t xml:space="preserve">Auf Grund des § 6 Absatz 5 Satz 3 des Hochschulgesetzes vom 16. September 2014 (GV. NRW. S. 547) verordnet das Ministerium für Innovation, Wissenschaft und Forschung mit Zustimmung des Landtags:</w:t>
      </w:r>
    </w:p>
    <w:p>
      <w:r>
        <w:rPr>
          <w:color w:val="555555"/>
          <w:sz w:val="17"/>
        </w:rPr>
        <w:t xml:space="preserve">Zitiervorschlag: Volltext RVGrVO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https://recht.nulegal.eu/gesetze/RVGrVO/volltext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