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RVGrVO (Nordrhein-Westfalen) — Inkrafttreten, Berichtswesen</w:t>
      </w:r>
    </w:p>
    <w:p>
      <w:r>
        <w:rPr>
          <w:color w:val="555555"/>
          <w:sz w:val="18"/>
        </w:rPr>
        <w:t xml:space="preserve">Rahmenvorgabengrundsätzeverordnung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Ministerium berichtet der Landesregierung bis zum 31. Dezember 2019 über die Erfahrungen mit dieser Verordnung.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RVGrVO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https://recht.nulegal.eu/gesetze/RVGrVO/5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