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RVGrVO (Nordrhein-Westfalen) — Rahmenvorgaben im Bereich der Personalverwaltung und der Aufgaben der Berufsbildung nach dem Berufsbildungsgesetz</w:t>
      </w:r>
    </w:p>
    <w:p>
      <w:r>
        <w:rPr>
          <w:color w:val="555555"/>
          <w:sz w:val="18"/>
        </w:rPr>
        <w:t xml:space="preserve">Rahmenvorgabengrundsätzeverordnung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Rahmenvorgaben im Bereich der Personalverwaltung und der Aufgaben der Berufsbildung nach dem Berufsbildungsgesetz können insbesondere</w:t>
      </w:r>
    </w:p>
    <w:p>
      <w:r>
        <w:t xml:space="preserve">1. die Grundsätze guter Beschäftigungsbedingungen im Sinne des § 3 Absatz 4 Satz 3 des Hochschulgesetzes regeln,</w:t>
      </w:r>
    </w:p>
    <w:p>
      <w:r>
        <w:t xml:space="preserve">2. Bestimmungen über die Fürsorge für Beschäftigte mit Behinderung oder chronischer Erkrankung treffen oder</w:t>
      </w:r>
    </w:p>
    <w:p>
      <w:r>
        <w:t xml:space="preserve">3. die Auslegung arbeits-, beamten- oder berufsbildungsrechtlicher Vorschriften vorgeben.</w:t>
      </w:r>
    </w:p>
    <w:p>
      <w:r>
        <w:t xml:space="preserve">(2) Gegenüber den Hochschulen, für die der Rahmenkodex nach § 34a des Hochschulgesetzes gilt, werden keine Rahmenvorgaben im Bereich der Personalverwaltung erlassen.</w:t>
      </w:r>
    </w:p>
    <w:p>
      <w:r>
        <w:rPr>
          <w:color w:val="555555"/>
          <w:sz w:val="17"/>
        </w:rPr>
        <w:t xml:space="preserve">Zitiervorschlag: § 3 RVGrVO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https://recht.nulegal.eu/gesetze/RVGrVO/3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