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RVGrVO (Nordrhein-Westfalen) — Verhältnis zu eigenen und gemeinsamen Hochschulaufgaben</w:t>
      </w:r>
    </w:p>
    <w:p>
      <w:r>
        <w:rPr>
          <w:color w:val="555555"/>
          <w:sz w:val="18"/>
        </w:rPr>
        <w:t xml:space="preserve">Rahmenvorgabengrundsätzeverordnung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Rahmenvorgabe kann nur in dem Bereich der zugewiesenen Aufgaben erlassen werden. Dies ist auch der Fall, wenn die Rahmenvorgabe den Bereich der eigenen oder der gemeinsamen Aufgaben im Sinne des § 2 Absatz 2 Satz 1 des Hochschulgesetzes unmittelbar oder mittelbar berührt.</w:t>
      </w:r>
    </w:p>
    <w:p>
      <w:r>
        <w:t xml:space="preserve">(2) Berührt eine Rahmenvorgabe den Bereich der eigenen oder der gemeinsamen Aufgaben im Sinne des § 2 Absatz 2 Satz 1 des Hochschulgesetzes unmittelbar oder mittelbar, werden die berührten Belange von Forschung, Lehre und Hochschulentwicklungsplanung unter angemessener Würdigung vom Ministerium berücksichtigt.</w:t>
      </w:r>
    </w:p>
    <w:p>
      <w:r>
        <w:rPr>
          <w:color w:val="555555"/>
          <w:sz w:val="17"/>
        </w:rPr>
        <w:t xml:space="preserve">Zitiervorschlag: § 2 RVGrVO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https://recht.nulegal.eu/gesetze/RVGrVO/2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