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RVG — Mehrere Auftraggeber</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Wird der Rechtsanwalt in derselben Angelegenheit für mehrere Auftraggeber tätig, erhält er die Gebühren nur einmal.</w:t>
      </w:r>
    </w:p>
    <w:p>
      <w:r>
        <w:t xml:space="preserve">(2) Jeder der Auftraggeber schuldet die Gebühren und Auslagen, die er schulden würde, wenn der Rechtsanwalt nur in seinem Auftrag tätig geworden wäre; die Dokumentenpauschale nach Nummer 7000 des Vergütungsverzeichnisses schuldet er auch insoweit, wie diese nur durch die Unterrichtung mehrerer Auftraggeber entstanden ist. Der Rechtsanwalt kann aber insgesamt nicht mehr als die nach Absatz 1 berechneten Gebühren und die insgesamt entstandenen Auslagen fordern.</w:t>
      </w:r>
    </w:p>
    <w:p>
      <w:r>
        <w:rPr>
          <w:color w:val="555555"/>
          <w:sz w:val="17"/>
        </w:rPr>
        <w:t xml:space="preserve">Zitiervorschlag: § 7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