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RVG — Rechtsbehelf in Bußgeldsachen vor der Verwaltungsbehörde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13.04.2022 (konsolidierte Textfassung, kein amtliches Inkrafttretensdatum)</w:t>
      </w:r>
    </w:p>
    <w:p>
      <w:r>
        <w:t xml:space="preserve">Gegen Entscheidungen der Verwaltungsbehörde im Bußgeldverfahren nach den Vorschriften dieses Abschnitts kann gerichtliche Entscheidung beantragt werden. Für das Verfahren gilt § 62 des Gesetzes über Ordnungswidrigkeiten.</w:t>
      </w:r>
    </w:p>
    <w:p>
      <w:r>
        <w:rPr>
          <w:color w:val="555555"/>
          <w:sz w:val="17"/>
        </w:rPr>
        <w:t xml:space="preserve">Zitiervorschlag: § 57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