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56 RVG — Erinnerung und Beschwerde</w:t>
      </w:r>
    </w:p>
    <w:p>
      <w:r>
        <w:rPr>
          <w:color w:val="555555"/>
          <w:sz w:val="18"/>
        </w:rPr>
        <w:t xml:space="preserve">Rechtsanwaltsvergütungsgesetz</w:t>
      </w:r>
    </w:p>
    <w:p>
      <w:r>
        <w:rPr>
          <w:color w:val="555555"/>
          <w:sz w:val="18"/>
        </w:rPr>
        <w:t xml:space="preserve">Stand: 13.04.2022 (konsolidierte Textfassung, kein amtliches Inkrafttretensdatum)</w:t>
      </w:r>
    </w:p>
    <w:p>
      <w:r>
        <w:t xml:space="preserve">(1) Über Erinnerungen des Rechtsanwalts und der Staatskasse gegen die Festsetzung nach § 55 entscheidet das Gericht des Rechtszugs, bei dem die Festsetzung erfolgt ist, durch Beschluss. Im Fall des § 55 Absatz 3 entscheidet die Strafkammer des Landgerichts. Im Fall der Beratungshilfe entscheidet das nach § 4 Absatz 1 des Beratungshilfegesetzes zuständige Gericht.</w:t>
      </w:r>
    </w:p>
    <w:p>
      <w:r>
        <w:t xml:space="preserve">(2) Im Verfahren über die Erinnerung gilt § 33 Absatz 4 Satz 1, Absatz 7 und 8 und im Verfahren über die Beschwerde gegen die Entscheidung über die Erinnerung § 33 Absatz 3 bis 8 entsprechend. Das Verfahren über die Erinnerung und über die Beschwerde ist gebührenfrei. Kosten werden nicht erstattet.</w:t>
      </w:r>
    </w:p>
    <w:p>
      <w:r>
        <w:rPr>
          <w:color w:val="555555"/>
          <w:sz w:val="17"/>
        </w:rPr>
        <w:t xml:space="preserve">Zitiervorschlag: § 56 RVG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https://recht.nulegal.eu/gesetze/RVG/56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