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RVG — Anspruch gegen den Auftraggeber, Anspruch des zum Beistand bestellten Rechtsanwalts gegen den Verurteilten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Für den Anspruch des dem Privatkläger, dem Nebenkläger, dem Antragsteller im Klageerzwingungsverfahren oder des sonst in Angelegenheiten, in denen sich die Gebühren nach Teil 4, 5 oder 6 des Vergütungsverzeichnisses bestimmen, beigeordneten Rechtsanwalts gegen seinen Auftraggeber gilt § 52 entsprechend.</w:t>
      </w:r>
    </w:p>
    <w:p>
      <w:r>
        <w:t xml:space="preserve">(2) Der dem Nebenkläger, dem nebenklageberechtigten Verletzten oder dem Zeugen als Beistand bestellte Rechtsanwalt kann die Gebühren eines gewählten Beistands aufgrund seiner Bestellung nur von dem Verurteilten verlangen. Der Anspruch entfällt insoweit, als die Staatskasse die Gebühren bezahlt hat.</w:t>
      </w:r>
    </w:p>
    <w:p>
      <w:r>
        <w:t xml:space="preserve">(3) Der in Absatz 2 Satz 1 genannte Rechtsanwalt kann einen Anspruch aus einer Vergütungsvereinbarung nur geltend machen, wenn das Gericht des ersten Rechtszugs auf seinen Antrag feststellt, dass der Nebenkläger, der nebenklageberechtigte Verletzte oder der Zeuge zum Zeitpunkt des Abschlusses der Vereinbarung allein auf Grund seiner persönlichen und wirtschaftlichen Verhältnisse die Voraussetzungen für die Bewilligung von Prozesskostenhilfe in bürgerlichen Rechtsstreitigkeiten nicht erfüllt hätte. Ist das Verfahren nicht gerichtlich anhängig geworden, entscheidet das Gericht, das den Rechtsanwalt als Beistand bestellt hat. § 52 Absatz 3 bis 5 gilt entsprechend.</w:t>
      </w:r>
    </w:p>
    <w:p>
      <w:r>
        <w:rPr>
          <w:color w:val="555555"/>
          <w:sz w:val="17"/>
        </w:rPr>
        <w:t xml:space="preserve">Zitiervorschlag: § 53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