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4b RVG — Fehlerhafte Vergütungsvereinbarung</w:t>
      </w:r>
    </w:p>
    <w:p>
      <w:r>
        <w:rPr>
          <w:color w:val="555555"/>
          <w:sz w:val="18"/>
        </w:rPr>
        <w:t xml:space="preserve">Rechtsanwaltsvergütungsgesetz</w:t>
      </w:r>
    </w:p>
    <w:p>
      <w:r>
        <w:rPr>
          <w:color w:val="555555"/>
          <w:sz w:val="18"/>
        </w:rPr>
        <w:t xml:space="preserve">Stand: 13.04.2022 (konsolidierte Textfassung, kein amtliches Inkrafttretensdatum)</w:t>
      </w:r>
    </w:p>
    <w:p>
      <w:r>
        <w:t xml:space="preserve">Aus einer Vergütungsvereinbarung, die nicht den Anforderungen des § 3a Absatz 1 Satz 1 und 2 oder des § 4a Absatz 1 und 3 Nummer 1 und 4 entspricht, kann der Rechtsanwalt keine höhere als die gesetzliche Vergütung fordern. Die Vorschriften des bürgerlichen Rechts über die ungerechtfertigte Bereicherung bleiben unberührt.</w:t>
      </w:r>
    </w:p>
    <w:p>
      <w:r>
        <w:rPr>
          <w:color w:val="555555"/>
          <w:sz w:val="17"/>
        </w:rPr>
        <w:t xml:space="preserve">Zitiervorschlag: § 4b 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https://recht.nulegal.eu/gesetze/RVG/4b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