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RVG — Wertgebühren aus der Staatskasse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Bestimmen sich die Gebühren nach dem Gegenstandswert, werden bei einem Gegenstandswert von mehr als 4 000 Euro anstelle der Gebühr nach § 13 Absatz 1 die folgenden Gebühren vergütet:</w:t>
      </w:r>
    </w:p>
    <w:p>
      <w:r>
        <w:rPr>
          <w:rFonts w:ascii="Courier New" w:hAnsi="Courier New"/>
          <w:sz w:val="17"/>
        </w:rPr>
        <w:t xml:space="preserve">Gegenstands- wert bis … Euro    Gebühr … Euro        Gegenstands- wert bis … Euro    Gebühr … Euro</w:t>
      </w:r>
    </w:p>
    <w:p>
      <w:r>
        <w:rPr>
          <w:rFonts w:ascii="Courier New" w:hAnsi="Courier New"/>
          <w:sz w:val="17"/>
        </w:rPr>
        <w:t xml:space="preserve">5 000    319,00        25 000    449,00</w:t>
      </w:r>
    </w:p>
    <w:p>
      <w:r>
        <w:rPr>
          <w:rFonts w:ascii="Courier New" w:hAnsi="Courier New"/>
          <w:sz w:val="17"/>
        </w:rPr>
        <w:t xml:space="preserve">6 000    330,00        30 000    488,00</w:t>
      </w:r>
    </w:p>
    <w:p>
      <w:r>
        <w:rPr>
          <w:rFonts w:ascii="Courier New" w:hAnsi="Courier New"/>
          <w:sz w:val="17"/>
        </w:rPr>
        <w:t xml:space="preserve">7 000    341,00        35 000    527,00</w:t>
      </w:r>
    </w:p>
    <w:p>
      <w:r>
        <w:rPr>
          <w:rFonts w:ascii="Courier New" w:hAnsi="Courier New"/>
          <w:sz w:val="17"/>
        </w:rPr>
        <w:t xml:space="preserve">8 000    352,00        40 000    566,00</w:t>
      </w:r>
    </w:p>
    <w:p>
      <w:r>
        <w:rPr>
          <w:rFonts w:ascii="Courier New" w:hAnsi="Courier New"/>
          <w:sz w:val="17"/>
        </w:rPr>
        <w:t xml:space="preserve">9 000    363,00        45 000    605,00</w:t>
      </w:r>
    </w:p>
    <w:p>
      <w:r>
        <w:rPr>
          <w:rFonts w:ascii="Courier New" w:hAnsi="Courier New"/>
          <w:sz w:val="17"/>
        </w:rPr>
        <w:t xml:space="preserve">10 000    374,00        50 000    644,00</w:t>
      </w:r>
    </w:p>
    <w:p>
      <w:r>
        <w:rPr>
          <w:rFonts w:ascii="Courier New" w:hAnsi="Courier New"/>
          <w:sz w:val="17"/>
        </w:rPr>
        <w:t xml:space="preserve">13 000    389,00        65 000    692,00</w:t>
      </w:r>
    </w:p>
    <w:p>
      <w:r>
        <w:rPr>
          <w:rFonts w:ascii="Courier New" w:hAnsi="Courier New"/>
          <w:sz w:val="17"/>
        </w:rPr>
        <w:t xml:space="preserve">16 000    404,00        80 000    739,00</w:t>
      </w:r>
    </w:p>
    <w:p>
      <w:r>
        <w:rPr>
          <w:rFonts w:ascii="Courier New" w:hAnsi="Courier New"/>
          <w:sz w:val="17"/>
        </w:rPr>
        <w:t xml:space="preserve">19 000    419,00        über 80 000    </w:t>
      </w:r>
    </w:p>
    <w:p>
      <w:r>
        <w:rPr>
          <w:rFonts w:ascii="Courier New" w:hAnsi="Courier New"/>
          <w:sz w:val="17"/>
        </w:rPr>
        <w:t xml:space="preserve">22 000    434,00        786,00</w:t>
      </w:r>
    </w:p>
    <w:p>
      <w:r>
        <w:rPr>
          <w:color w:val="555555"/>
          <w:sz w:val="17"/>
        </w:rPr>
        <w:t xml:space="preserve">Zitiervorschlag: § 49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