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RVG — Auslagen und Aufwendungen</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Auslagen, insbesondere Reisekosten, werden nicht vergütet, wenn sie zur sachgemäßen Durchführung der Angelegenheit nicht erforderlich waren.</w:t>
      </w:r>
    </w:p>
    <w:p>
      <w:r>
        <w:t xml:space="preserve">(2) Wenn das Gericht des Rechtszugs auf Antrag des Rechtsanwalts vor Antritt der Reise feststellt, dass eine Reise erforderlich ist, ist diese Feststellung für das Festsetzungsverfahren (§ 55) bindend. Im Bußgeldverfahren vor der Verwaltungsbehörde tritt an die Stelle des Gerichts die Verwaltungsbehörde. Für Aufwendungen (§ 670 des Bürgerlichen Gesetzbuchs) gelten Absatz 1 und die Sätze 1 und 2 entsprechend; die Höhe zu ersetzender Kosten für die Zuziehung eines Dolmetschers oder Übersetzers ist auf die nach dem Justizvergütungs- und -entschädigungsgesetz zu zahlenden Beträge beschränkt.</w:t>
      </w:r>
    </w:p>
    <w:p>
      <w:r>
        <w:t xml:space="preserve">(3) Auslagen, die durch Nachforschungen zur Vorbereitung eines Wiederaufnahmeverfahrens entstehen, für das die Vorschriften der Strafprozessordnung gelten, werden nur vergütet, wenn der Rechtsanwalt nach § 364b Absatz 1 Satz 1 der Strafprozessordnung bestellt worden ist oder wenn das Gericht die Feststellung nach § 364b Absatz 1 Satz 2 der Strafprozessordnung getroffen hat. Dies gilt auch im gerichtlichen Bußgeldverfahren (§ 85 Absatz 1 des Gesetzes über Ordnungswidrigkeiten).</w:t>
      </w:r>
    </w:p>
    <w:p>
      <w:r>
        <w:rPr>
          <w:color w:val="555555"/>
          <w:sz w:val="17"/>
        </w:rPr>
        <w:t xml:space="preserve">Zitiervorschlag: § 46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