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RVG — Vergütungsanspruch bei Beratungshilfe</w:t>
      </w:r>
    </w:p>
    <w:p>
      <w:r>
        <w:rPr>
          <w:color w:val="555555"/>
          <w:sz w:val="18"/>
        </w:rPr>
        <w:t xml:space="preserve">Rechtsanwaltsvergütungsgesetz</w:t>
      </w:r>
    </w:p>
    <w:p>
      <w:r>
        <w:rPr>
          <w:color w:val="555555"/>
          <w:sz w:val="18"/>
        </w:rPr>
        <w:t xml:space="preserve">Stand: 13.04.2022 (konsolidierte Textfassung, kein amtliches Inkrafttretensdatum)</w:t>
      </w:r>
    </w:p>
    <w:p>
      <w:r>
        <w:t xml:space="preserve">Für die Tätigkeit im Rahmen der Beratungshilfe erhält der Rechtsanwalt eine Vergütung nach diesem Gesetz aus der Landeskasse, soweit nicht für die Tätigkeit in Beratungsstellen nach § 3 Absatz 1 des Beratungshilfegesetzes besondere Vereinbarungen getroffen sind. Die Beratungshilfegebühr (Nummer 2500 des Vergütungsverzeichnisses) schuldet nur der Rechtsuchende.</w:t>
      </w:r>
    </w:p>
    <w:p>
      <w:r>
        <w:rPr>
          <w:color w:val="555555"/>
          <w:sz w:val="17"/>
        </w:rPr>
        <w:t xml:space="preserve">Zitiervorschlag: § 44 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https://recht.nulegal.eu/gesetze/RVG/44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